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92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Kaynak veya kesme işlemi yapılmadan önce "KAYNAK MÜSAADESİ" alınacaktır.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3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Kaynak yapılan yerin yakınında bir seyyar yangın söndürücü bulundurulacaktır.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Kaynakçılar haricinde diğer çalışanlarında, kaynak ışınlarından, erimiş metalden,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sparktan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 xml:space="preserve"> korunmaları için gerekli tertibat (paravana, kaynağın ayrı bir yerde yapılması gibi) alınacaktır.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Kablolar, hortumlar ve diğer kaynak malzemeleri merdivenler ve geçiş yerlerinde bulundurulmayacaktır.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4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Bütün çukur, kuyu, silo, kazan, tank, tünel v.s. gibi kapalı yerler; kaynak, kesme ve ısıtma gibi ameliyeler yapılmadan önce iyice havalandırılacaktır.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Yanıcı ve patlayıcı maddelerin bulunduğu yerlerde kaynak yapma mecburiyeti </w:t>
      </w:r>
      <w:proofErr w:type="gramStart"/>
      <w:r w:rsidRPr="00813C35">
        <w:rPr>
          <w:rFonts w:ascii="Times New Roman" w:hAnsi="Times New Roman"/>
          <w:color w:val="695847"/>
          <w:lang w:eastAsia="tr-TR"/>
        </w:rPr>
        <w:t>hasıl</w:t>
      </w:r>
      <w:proofErr w:type="gramEnd"/>
      <w:r w:rsidRPr="00813C35">
        <w:rPr>
          <w:rFonts w:ascii="Times New Roman" w:hAnsi="Times New Roman"/>
          <w:color w:val="695847"/>
          <w:lang w:eastAsia="tr-TR"/>
        </w:rPr>
        <w:t xml:space="preserve"> olduğunda, kaynağa başlamadan önce yetkili kişilerden kaynak müsaadesi (ateş kağıdı) alınacaktır.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302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Herhangi bir yerde kaynak yapılıp bittikten sonra, burada yangın çıkması ihtimaline karşı bir saat süre ile nöbetçi bırakılacaktır.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302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Kaynak tüpleri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spark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>, alev ve sıcak kaynaklardan uzak yerlerde bulundurulacaktır.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Kapalı yerlerde kaynak, kesme ve ısıtma yapılırken çıkacak zehirli gazlara karşı gerekli önlem alınacaktır.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Basınçlı oksijen; havalandırma, serinleme, elbisedeki tozları ve işyerini temizleme maksatları için kullanılmayacaktır.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Yanıcı olup olmadığı bilinmeyen herhangi bir koruyucu ile kaplanmış metallere kaynak, kesme ve ısıtma yapmadan önce bu maddenin yanıcı olup olmadığını anlamak için test yapılacaktır.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Yanıcı olduğu anlaşılan kaplamalar iyice sıyrılmadan kaynak, kesme ve ısıtma işlemi yapılmayacaktır.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Birkaç yerinde aşınma veya hasar görülen ve geri tepen aleve maruz kalmış hortumlar çalışma basıncının iki katına kadar bir basınçla test edileceklerdir. Her halükarda bu basınç 20 atmosferden (300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psi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>) az olmayacaktır. Bu test neticesinde uygun olmayan hortumlar kullanılmayacaktır.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Yanıcı boyaların, karışımların ve tehlikeye sebep olabilecek derecede yoğun tozların (patlayıcı - yanıcı tozlar) bulunduğu yerlerde kaynak, kesme ve ısıtma işlemi yapılmayacaktır.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Duvarlarda, tabanlarda ve tavanlarda kaynak, kesme ve ısıtma işlemi yapılırken; kaynak yapılan tarafta alınan önlemlerin aynısı diğer tarafta da alınacaktır.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Oksijen tazyiki, asetilenin oksijen tüpüne ulaşmasına mani </w:t>
      </w:r>
      <w:r w:rsidRPr="00813C35">
        <w:rPr>
          <w:rFonts w:ascii="Times New Roman" w:hAnsi="Times New Roman"/>
          <w:color w:val="695847"/>
          <w:lang w:eastAsia="tr-TR"/>
        </w:rPr>
        <w:tab/>
        <w:t>olacak kadar yüksek olacaktır.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8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Asetilen tazyiki 1 atmosferi geçmeyecek şekilde ayarlanacaktır.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8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Kaynak tüpleri çalışma süresince daima dik veya 45° yatık olarak kullanılacak, yere yatırılmayacaktır.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6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Kaynakçılar gaz tüpleri valflarında ve emniyet tertibatlarında </w:t>
      </w:r>
      <w:r w:rsidRPr="00813C35">
        <w:rPr>
          <w:rFonts w:ascii="Times New Roman" w:hAnsi="Times New Roman"/>
          <w:color w:val="695847"/>
          <w:lang w:eastAsia="tr-TR"/>
        </w:rPr>
        <w:tab/>
        <w:t>onarım yapmayacaklardır.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6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Oksijen ve asetilen için ayrı renk hortum kullanılacaktır. (Oksijen mavi- asetilen kırmızı)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Gaz tüplerinin taşınması için tekerlekli özel kullanılacak, arabalar yerde yuvarlanmayacak ve tüpler sürüklenmeyecektir.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16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Oksijen tüpleri yağlı elle tutulmayacak vanaları ve manometreleri yağlanmayacaktır.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proofErr w:type="spellStart"/>
      <w:r w:rsidRPr="00813C35">
        <w:rPr>
          <w:rFonts w:ascii="Times New Roman" w:hAnsi="Times New Roman"/>
          <w:color w:val="695847"/>
          <w:lang w:eastAsia="tr-TR"/>
        </w:rPr>
        <w:t>Şalomalar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 xml:space="preserve"> çalışır durumda gaz tüpü veya başka bir yere asılmayacak, tamamen gaz kesilip söndürülmedikçe şaloma bırakılmayacaktır.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Kaynak yapılan yerlerde, kullanılan tüplerden başka tüp bulundurulmayacaktır.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Şaloma değiştirilirken; gaz, hortum kırılarak kesilmeyecek valftan kapatılacaktır.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8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Şaloma, kibrit ve sıcak parça ile değil özel çakmağı ateşlenecektir.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851"/>
        </w:tabs>
        <w:adjustRightInd w:val="0"/>
        <w:spacing w:before="100" w:beforeAutospacing="1" w:after="100" w:afterAutospacing="1" w:line="264" w:lineRule="atLeast"/>
        <w:ind w:left="284" w:hanging="284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Hortum kaçaklarının tespitinde alev değil, sadece sabunlu su kullanılacaktır.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64" w:lineRule="atLeast"/>
        <w:ind w:left="284" w:hanging="284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Kaynakçıların, yanmaz kumaştan elbise, eldiven, önlük, baret, tozluk ve işe uygun derecede koyu camlı maske kullanacaklardır.</w:t>
      </w:r>
    </w:p>
    <w:p w:rsidR="007E57D7" w:rsidRPr="00813C35" w:rsidRDefault="00813C35" w:rsidP="00813C35">
      <w:pPr>
        <w:tabs>
          <w:tab w:val="num" w:pos="284"/>
        </w:tabs>
        <w:ind w:left="284" w:hanging="284"/>
        <w:rPr>
          <w:sz w:val="32"/>
        </w:rPr>
      </w:pPr>
      <w:r w:rsidRPr="00813C35">
        <w:rPr>
          <w:rFonts w:ascii="Times New Roman" w:hAnsi="Times New Roman"/>
          <w:color w:val="695847"/>
          <w:lang w:eastAsia="tr-TR"/>
        </w:rPr>
        <w:t>Kaynakçıların elbiselerinde yağ vs gibi yanıcı maddeler bulunmayacaktır</w:t>
      </w:r>
    </w:p>
    <w:sectPr w:rsidR="007E57D7" w:rsidRPr="00813C35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FAE" w:rsidRDefault="00C53FAE">
      <w:r>
        <w:separator/>
      </w:r>
    </w:p>
  </w:endnote>
  <w:endnote w:type="continuationSeparator" w:id="1">
    <w:p w:rsidR="00C53FAE" w:rsidRDefault="00C5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9688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FAE" w:rsidRDefault="00C53FAE">
      <w:r>
        <w:separator/>
      </w:r>
    </w:p>
  </w:footnote>
  <w:footnote w:type="continuationSeparator" w:id="1">
    <w:p w:rsidR="00C53FAE" w:rsidRDefault="00C53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9688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387DC2" w:rsidRDefault="00C678FE" w:rsidP="00387DC2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387DC2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387DC2" w:rsidP="00387DC2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5750D7">
            <w:rPr>
              <w:rFonts w:ascii="Times New Roman" w:hAnsi="Times New Roman"/>
              <w:noProof/>
              <w:position w:val="-28"/>
              <w:sz w:val="20"/>
            </w:rPr>
            <w:t>40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14F54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F9688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F9688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678F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9688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F9688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F9688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678F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9688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F1C17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3F1C17">
            <w:rPr>
              <w:rFonts w:ascii="Times New Roman" w:hAnsi="Times New Roman"/>
              <w:b/>
              <w:sz w:val="20"/>
            </w:rPr>
            <w:t>Kaynak ve Kesme İşlemleri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4A201C"/>
    <w:multiLevelType w:val="multilevel"/>
    <w:tmpl w:val="F2E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87DC2"/>
    <w:rsid w:val="0039467D"/>
    <w:rsid w:val="003A695E"/>
    <w:rsid w:val="003B0473"/>
    <w:rsid w:val="003C74CB"/>
    <w:rsid w:val="003D3992"/>
    <w:rsid w:val="003D5E35"/>
    <w:rsid w:val="003E192B"/>
    <w:rsid w:val="003F1C17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1ECA"/>
    <w:rsid w:val="004E3300"/>
    <w:rsid w:val="0054640B"/>
    <w:rsid w:val="0056141D"/>
    <w:rsid w:val="005750D7"/>
    <w:rsid w:val="005977A7"/>
    <w:rsid w:val="005B112C"/>
    <w:rsid w:val="005C2378"/>
    <w:rsid w:val="005E2673"/>
    <w:rsid w:val="00612B3A"/>
    <w:rsid w:val="00614F54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3C35"/>
    <w:rsid w:val="008173B3"/>
    <w:rsid w:val="00832215"/>
    <w:rsid w:val="008356B9"/>
    <w:rsid w:val="00846862"/>
    <w:rsid w:val="00847FB7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53FAE"/>
    <w:rsid w:val="00C678FE"/>
    <w:rsid w:val="00C84FF6"/>
    <w:rsid w:val="00C941AD"/>
    <w:rsid w:val="00C9575D"/>
    <w:rsid w:val="00CA42BC"/>
    <w:rsid w:val="00CB4A93"/>
    <w:rsid w:val="00CD7B6B"/>
    <w:rsid w:val="00CF6068"/>
    <w:rsid w:val="00D3719C"/>
    <w:rsid w:val="00D410CA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9688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885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F96885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96885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F9688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9688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96885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B97D-C3C1-4827-B150-1DE2D598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30</cp:revision>
  <cp:lastPrinted>2010-12-20T21:35:00Z</cp:lastPrinted>
  <dcterms:created xsi:type="dcterms:W3CDTF">2016-03-28T12:45:00Z</dcterms:created>
  <dcterms:modified xsi:type="dcterms:W3CDTF">2017-01-13T09:58:00Z</dcterms:modified>
</cp:coreProperties>
</file>