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09" w:rsidRPr="004D6463" w:rsidRDefault="00C33209" w:rsidP="004E5530">
      <w:pPr>
        <w:jc w:val="center"/>
        <w:rPr>
          <w:b/>
          <w:color w:val="C00000"/>
          <w:u w:val="single"/>
        </w:rPr>
      </w:pPr>
      <w:r w:rsidRPr="004D6463">
        <w:rPr>
          <w:b/>
          <w:color w:val="C00000"/>
          <w:u w:val="single"/>
        </w:rPr>
        <w:t>BİLGİSAYAR</w:t>
      </w:r>
      <w:r w:rsidR="00414302" w:rsidRPr="004D6463">
        <w:rPr>
          <w:b/>
          <w:color w:val="C00000"/>
          <w:u w:val="single"/>
        </w:rPr>
        <w:t>, YAZICI</w:t>
      </w:r>
      <w:r w:rsidR="008070B9" w:rsidRPr="004D6463">
        <w:rPr>
          <w:b/>
          <w:color w:val="C00000"/>
          <w:u w:val="single"/>
        </w:rPr>
        <w:t>, AKILLI TAHTA</w:t>
      </w:r>
      <w:r w:rsidRPr="004D6463">
        <w:rPr>
          <w:b/>
          <w:color w:val="C00000"/>
          <w:u w:val="single"/>
        </w:rPr>
        <w:t xml:space="preserve"> VE YAN DONANIMLARI KULLANMA TALİMATI</w:t>
      </w:r>
    </w:p>
    <w:p w:rsidR="00BD3AA2" w:rsidRPr="00E7742A" w:rsidRDefault="00BD3AA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Bilgisayar monitöründen </w:t>
      </w:r>
      <w:r w:rsidR="007C2DAF" w:rsidRPr="00E7742A">
        <w:rPr>
          <w:color w:val="auto"/>
          <w:sz w:val="22"/>
        </w:rPr>
        <w:t>45-75 cm</w:t>
      </w:r>
      <w:r w:rsidRPr="00E7742A">
        <w:rPr>
          <w:color w:val="auto"/>
          <w:sz w:val="22"/>
        </w:rPr>
        <w:t xml:space="preserve"> mesafede çalışılması</w:t>
      </w:r>
      <w:r w:rsidR="00B621EE" w:rsidRPr="00E7742A">
        <w:rPr>
          <w:color w:val="auto"/>
          <w:sz w:val="22"/>
        </w:rPr>
        <w:t>, ekran yansıması, parlaması önlenmeli,</w:t>
      </w:r>
    </w:p>
    <w:p w:rsidR="007C2DAF" w:rsidRPr="00E7742A" w:rsidRDefault="007C2DAF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Masa köşelerinden bileklerimizi uzak tutmalı varsa bilek koruma aparatı kullanılmalı,</w:t>
      </w:r>
    </w:p>
    <w:p w:rsidR="007C2DAF" w:rsidRPr="00E7742A" w:rsidRDefault="007C2DAF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Masa yüksekliğinin 65-70 cm arasında olmasına dikkat etmeliyiz,</w:t>
      </w:r>
    </w:p>
    <w:p w:rsidR="00BD3AA2" w:rsidRPr="00E7742A" w:rsidRDefault="00BD3AA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Kullanılan priz, kasa ve elektrik kablolarında elektrik çarpmalarına karşı gerekli önlemlerin alınması </w:t>
      </w:r>
    </w:p>
    <w:p w:rsidR="00B621EE" w:rsidRPr="00E7742A" w:rsidRDefault="00B621EE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15-20 dakikada bir kısa süre gözleri uzağa (6m) odaklayarak göz kaslarının dinlenmesi sağlanmalı</w:t>
      </w:r>
    </w:p>
    <w:p w:rsidR="00BD3AA2" w:rsidRPr="00E7742A" w:rsidRDefault="00BD3AA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Oturulan Sandalyede dik vaziyette oturulmalı, ergonomik şartlara uyulmalı,</w:t>
      </w:r>
    </w:p>
    <w:p w:rsidR="00B621EE" w:rsidRPr="00E7742A" w:rsidRDefault="00B621EE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Monitör yüksekliğini göz hizasına </w:t>
      </w:r>
      <w:r w:rsidR="00414302" w:rsidRPr="00E7742A">
        <w:rPr>
          <w:color w:val="auto"/>
          <w:sz w:val="22"/>
        </w:rPr>
        <w:t>yâda</w:t>
      </w:r>
      <w:r w:rsidRPr="00E7742A">
        <w:rPr>
          <w:color w:val="auto"/>
          <w:sz w:val="22"/>
        </w:rPr>
        <w:t xml:space="preserve"> biraz aşağıya gelecek şekilde ayarlayınız,</w:t>
      </w:r>
    </w:p>
    <w:p w:rsidR="00B621EE" w:rsidRPr="00E7742A" w:rsidRDefault="00B621EE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Oturma pozisyonu: dik oturulması, sırtın desteklenmesi, dizlerin üst kısmı düz ve diz </w:t>
      </w:r>
      <w:proofErr w:type="gramStart"/>
      <w:r w:rsidRPr="00E7742A">
        <w:rPr>
          <w:color w:val="auto"/>
          <w:sz w:val="22"/>
        </w:rPr>
        <w:t>açısı  90</w:t>
      </w:r>
      <w:proofErr w:type="gramEnd"/>
      <w:r w:rsidRPr="00E7742A">
        <w:rPr>
          <w:color w:val="auto"/>
          <w:sz w:val="22"/>
        </w:rPr>
        <w:t>-110 derece arasında, kollar yatay ve biraz yukarda olması,</w:t>
      </w:r>
    </w:p>
    <w:p w:rsidR="00C33209" w:rsidRPr="00E7742A" w:rsidRDefault="00C33209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Bilgisayar </w:t>
      </w:r>
      <w:r w:rsidR="00BD3AA2" w:rsidRPr="00E7742A">
        <w:rPr>
          <w:color w:val="auto"/>
          <w:sz w:val="22"/>
        </w:rPr>
        <w:t>oyunlarının oynanmaması ve varsa silinmesi,</w:t>
      </w:r>
    </w:p>
    <w:p w:rsidR="00DC57CE" w:rsidRPr="00E7742A" w:rsidRDefault="00DC57CE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Kişisel ve kurumsal verilerin gizliliğine dikkat edilmeli</w:t>
      </w:r>
      <w:r w:rsidR="00D71166" w:rsidRPr="00E7742A">
        <w:rPr>
          <w:color w:val="auto"/>
          <w:sz w:val="22"/>
        </w:rPr>
        <w:t>,</w:t>
      </w:r>
      <w:r w:rsidRPr="00E7742A">
        <w:rPr>
          <w:color w:val="auto"/>
          <w:sz w:val="22"/>
        </w:rPr>
        <w:t xml:space="preserve"> yetkisiz kişilerin erişimi engellenmeli,</w:t>
      </w:r>
    </w:p>
    <w:p w:rsidR="00BD3AA2" w:rsidRPr="00E7742A" w:rsidRDefault="00BD3AA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Kullanılan prizlerin masa </w:t>
      </w:r>
      <w:r w:rsidR="00414302" w:rsidRPr="00E7742A">
        <w:rPr>
          <w:color w:val="auto"/>
          <w:sz w:val="22"/>
        </w:rPr>
        <w:t>yâda</w:t>
      </w:r>
      <w:r w:rsidRPr="00E7742A">
        <w:rPr>
          <w:color w:val="auto"/>
          <w:sz w:val="22"/>
        </w:rPr>
        <w:t xml:space="preserve"> duvara monte edilmesi,</w:t>
      </w:r>
    </w:p>
    <w:p w:rsidR="00BD3AA2" w:rsidRPr="00E7742A" w:rsidRDefault="00BD3AA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Etik olmayan genel ahlaka </w:t>
      </w:r>
      <w:r w:rsidR="00414302" w:rsidRPr="00E7742A">
        <w:rPr>
          <w:color w:val="auto"/>
          <w:sz w:val="22"/>
        </w:rPr>
        <w:t>aykırı program</w:t>
      </w:r>
      <w:r w:rsidRPr="00E7742A">
        <w:rPr>
          <w:color w:val="auto"/>
          <w:sz w:val="22"/>
        </w:rPr>
        <w:t xml:space="preserve"> ve çalışmaların yapılmaması</w:t>
      </w:r>
      <w:r w:rsidR="007C2DAF" w:rsidRPr="00E7742A">
        <w:rPr>
          <w:color w:val="auto"/>
          <w:sz w:val="22"/>
        </w:rPr>
        <w:t>,</w:t>
      </w:r>
      <w:r w:rsidRPr="00E7742A">
        <w:rPr>
          <w:color w:val="auto"/>
          <w:sz w:val="22"/>
        </w:rPr>
        <w:t xml:space="preserve"> </w:t>
      </w:r>
    </w:p>
    <w:p w:rsidR="00976025" w:rsidRPr="00E7742A" w:rsidRDefault="00A248B8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Anti virüs</w:t>
      </w:r>
      <w:r w:rsidR="00976025" w:rsidRPr="00E7742A">
        <w:rPr>
          <w:color w:val="auto"/>
          <w:sz w:val="22"/>
        </w:rPr>
        <w:t xml:space="preserve"> programlarının güncel sürümlerinin, tüm masaüstü ve dizüstü bilgisayarlarda çalışmasının sağlanması, virüs programı yüklenmeden ve aktif hale getirilmeden kesinlikle internete girilmemesi,</w:t>
      </w:r>
    </w:p>
    <w:p w:rsidR="00976025" w:rsidRPr="00E7742A" w:rsidRDefault="00976025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Hukuki ve cezai sorumluluk doğurması nedeniyle, lisanslı olmayan programların bilgisayarlara yüklenmemesi, lisanslı olarak yüklenmiş programlarda arıza meydana geldiğinde arızanın sadece teknik personel tarafından giderilmesinin sağlanması,</w:t>
      </w:r>
    </w:p>
    <w:p w:rsidR="00976025" w:rsidRPr="00E7742A" w:rsidRDefault="00976025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Bilgisayar ve yan donanımlarında meydana gelen arızaların öncelikle teknik personele bildirilmesi, cihazlar açılarak kişisel müdahalelerde bulunulmaması,</w:t>
      </w:r>
    </w:p>
    <w:p w:rsidR="00976025" w:rsidRPr="00E7742A" w:rsidRDefault="00A248B8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İşletim</w:t>
      </w:r>
      <w:r w:rsidR="00976025" w:rsidRPr="00E7742A">
        <w:rPr>
          <w:color w:val="auto"/>
          <w:sz w:val="22"/>
        </w:rPr>
        <w:t xml:space="preserve"> sistemi ve uygulama programlarının yüklü olduğu sabit diskin C bölümüne kişisel dosya kaydedilmeyerek, sistem güvenliği açısından D bölümüne</w:t>
      </w:r>
      <w:r w:rsidR="00607D20" w:rsidRPr="00E7742A">
        <w:rPr>
          <w:color w:val="auto"/>
          <w:sz w:val="22"/>
        </w:rPr>
        <w:t xml:space="preserve"> yâda </w:t>
      </w:r>
      <w:proofErr w:type="spellStart"/>
      <w:r w:rsidR="00607D20" w:rsidRPr="00E7742A">
        <w:rPr>
          <w:color w:val="auto"/>
          <w:sz w:val="22"/>
        </w:rPr>
        <w:t>flash</w:t>
      </w:r>
      <w:proofErr w:type="spellEnd"/>
      <w:r w:rsidR="00607D20" w:rsidRPr="00E7742A">
        <w:rPr>
          <w:color w:val="auto"/>
          <w:sz w:val="22"/>
        </w:rPr>
        <w:t xml:space="preserve"> diske kaydedilmesi</w:t>
      </w:r>
      <w:r w:rsidR="00976025" w:rsidRPr="00E7742A">
        <w:rPr>
          <w:color w:val="auto"/>
          <w:sz w:val="22"/>
        </w:rPr>
        <w:t>,</w:t>
      </w:r>
    </w:p>
    <w:p w:rsidR="004D6463" w:rsidRPr="00E7742A" w:rsidRDefault="004D6463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Akıllı tahtaların öğretmenden izinsiz kullanılmaması, kullanım sonrası fişlerinin çekilmesi,</w:t>
      </w:r>
    </w:p>
    <w:p w:rsidR="00976025" w:rsidRPr="00E7742A" w:rsidRDefault="00976025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Bilgisayar ve yan donanımlarının sıvı maddelerle temas ettirilmemesi, toplu iğne, ataç ve zımba teli gibi yabancı </w:t>
      </w:r>
      <w:bookmarkStart w:id="0" w:name="_GoBack"/>
      <w:bookmarkEnd w:id="0"/>
      <w:r w:rsidRPr="00E7742A">
        <w:rPr>
          <w:color w:val="auto"/>
          <w:sz w:val="22"/>
        </w:rPr>
        <w:t>maddelerin masaüstü ve diz</w:t>
      </w:r>
      <w:r w:rsidR="00D2387E" w:rsidRPr="00E7742A">
        <w:rPr>
          <w:color w:val="auto"/>
          <w:sz w:val="22"/>
        </w:rPr>
        <w:t>ü</w:t>
      </w:r>
      <w:r w:rsidRPr="00E7742A">
        <w:rPr>
          <w:color w:val="auto"/>
          <w:sz w:val="22"/>
        </w:rPr>
        <w:t>stü bilgisayarların klavyelerine ve özellikle de yazıcıların içine kaçırılmaması</w:t>
      </w:r>
      <w:r w:rsidR="007C2DAF" w:rsidRPr="00E7742A">
        <w:rPr>
          <w:color w:val="auto"/>
          <w:sz w:val="22"/>
        </w:rPr>
        <w:t>,</w:t>
      </w:r>
    </w:p>
    <w:p w:rsidR="004E5530" w:rsidRPr="00E7742A" w:rsidRDefault="00B621EE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Saat başı mola vererek oda havalandırılmalı, ufak egzersizler yapılmalı,</w:t>
      </w:r>
    </w:p>
    <w:p w:rsidR="00976025" w:rsidRPr="00E7742A" w:rsidRDefault="00976025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Öğle arasında bilgi</w:t>
      </w:r>
      <w:r w:rsidR="004D6463" w:rsidRPr="00E7742A">
        <w:rPr>
          <w:color w:val="auto"/>
          <w:sz w:val="22"/>
        </w:rPr>
        <w:t>sayar,</w:t>
      </w:r>
      <w:r w:rsidRPr="00E7742A">
        <w:rPr>
          <w:color w:val="auto"/>
          <w:sz w:val="22"/>
        </w:rPr>
        <w:t xml:space="preserve"> </w:t>
      </w:r>
      <w:r w:rsidR="004D6463" w:rsidRPr="00E7742A">
        <w:rPr>
          <w:color w:val="auto"/>
          <w:sz w:val="22"/>
        </w:rPr>
        <w:t>monitör, yazıcı ve akıllı tahta</w:t>
      </w:r>
      <w:r w:rsidRPr="00E7742A">
        <w:rPr>
          <w:color w:val="auto"/>
          <w:sz w:val="22"/>
        </w:rPr>
        <w:t>l</w:t>
      </w:r>
      <w:r w:rsidR="004D6463" w:rsidRPr="00E7742A">
        <w:rPr>
          <w:color w:val="auto"/>
          <w:sz w:val="22"/>
        </w:rPr>
        <w:t>arın</w:t>
      </w:r>
      <w:r w:rsidRPr="00E7742A">
        <w:rPr>
          <w:color w:val="auto"/>
          <w:sz w:val="22"/>
        </w:rPr>
        <w:t xml:space="preserve"> açık bırakılmaması, özellikle hafta sonu</w:t>
      </w:r>
      <w:r w:rsidR="00414302" w:rsidRPr="00E7742A">
        <w:rPr>
          <w:color w:val="auto"/>
          <w:sz w:val="22"/>
        </w:rPr>
        <w:t xml:space="preserve"> </w:t>
      </w:r>
      <w:r w:rsidR="004D6463" w:rsidRPr="00E7742A">
        <w:rPr>
          <w:color w:val="auto"/>
          <w:sz w:val="22"/>
        </w:rPr>
        <w:t>yâda</w:t>
      </w:r>
      <w:r w:rsidR="00414302" w:rsidRPr="00E7742A">
        <w:rPr>
          <w:color w:val="auto"/>
          <w:sz w:val="22"/>
        </w:rPr>
        <w:t xml:space="preserve"> tatil</w:t>
      </w:r>
      <w:r w:rsidRPr="00E7742A">
        <w:rPr>
          <w:color w:val="auto"/>
          <w:sz w:val="22"/>
        </w:rPr>
        <w:t xml:space="preserve"> öncesinde tüm masaüstü bilgisayarların kapatıldığının odadan en son çıkanlar tarafından kontrol edilmesi, bilgisayarla</w:t>
      </w:r>
      <w:r w:rsidR="004D6463" w:rsidRPr="00E7742A">
        <w:rPr>
          <w:color w:val="auto"/>
          <w:sz w:val="22"/>
        </w:rPr>
        <w:t xml:space="preserve">rın uzun süre kullanılmadıklarında </w:t>
      </w:r>
      <w:r w:rsidR="00414302" w:rsidRPr="00E7742A">
        <w:rPr>
          <w:color w:val="auto"/>
          <w:sz w:val="22"/>
        </w:rPr>
        <w:t>fişlerinin mutlaka çekilmesi, panodan şalterlerin kapatılması,</w:t>
      </w:r>
    </w:p>
    <w:p w:rsidR="004D6463" w:rsidRPr="00E7742A" w:rsidRDefault="004D6463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Elektrik çarpması veya diğer acil durumlarda en yakın priz, şalter veya panodan enerji acil stop butonuna basılması veya anahtarını kapatılması,</w:t>
      </w:r>
    </w:p>
    <w:p w:rsidR="00976025" w:rsidRPr="00E7742A" w:rsidRDefault="0041430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 xml:space="preserve">Bilgisayar ve monitörlerde enerji tasarruf </w:t>
      </w:r>
      <w:proofErr w:type="spellStart"/>
      <w:r w:rsidRPr="00E7742A">
        <w:rPr>
          <w:color w:val="auto"/>
          <w:sz w:val="22"/>
        </w:rPr>
        <w:t>modunun</w:t>
      </w:r>
      <w:proofErr w:type="spellEnd"/>
      <w:r w:rsidRPr="00E7742A">
        <w:rPr>
          <w:color w:val="auto"/>
          <w:sz w:val="22"/>
        </w:rPr>
        <w:t xml:space="preserve"> aktif edilmesi,</w:t>
      </w:r>
    </w:p>
    <w:p w:rsidR="00976025" w:rsidRPr="00E7742A" w:rsidRDefault="00976025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Bilgisayarların, güç (</w:t>
      </w:r>
      <w:proofErr w:type="spellStart"/>
      <w:r w:rsidRPr="00E7742A">
        <w:rPr>
          <w:color w:val="auto"/>
          <w:sz w:val="22"/>
        </w:rPr>
        <w:t>power</w:t>
      </w:r>
      <w:proofErr w:type="spellEnd"/>
      <w:r w:rsidRPr="00E7742A">
        <w:rPr>
          <w:color w:val="auto"/>
          <w:sz w:val="22"/>
        </w:rPr>
        <w:t>) düğmesinden değil, “bilgisayarı kapat” menüsünden kapatılması</w:t>
      </w:r>
    </w:p>
    <w:p w:rsidR="00D9610F" w:rsidRPr="00E7742A" w:rsidRDefault="0041430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Günlük ve haftalık temizliklerde, bilgisayar ve panodan enerji kesilerek az nemli bezle monitör ve kasaların silinmesi, toz oluşturacak şekilde temizlik yapılmaması,</w:t>
      </w:r>
    </w:p>
    <w:p w:rsidR="00D9610F" w:rsidRPr="00E7742A" w:rsidRDefault="00D9610F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Sadece bir adet bilgisayarı (monitörü ile birlikte) beslemesi için gönderilen kişisel kesintisiz güç kaynaklarına, yazıcı, tarayıcı veya diğer cihazların bağlanmaması,</w:t>
      </w:r>
    </w:p>
    <w:p w:rsidR="00D9610F" w:rsidRPr="00E7742A" w:rsidRDefault="007C2DAF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Bilgisayar tamiri, y</w:t>
      </w:r>
      <w:r w:rsidR="00D9610F" w:rsidRPr="00E7742A">
        <w:rPr>
          <w:color w:val="auto"/>
          <w:sz w:val="22"/>
        </w:rPr>
        <w:t>azıcılarda toner ve mürekkep kartuşu değiştirilmesi işleminin teknik personel veya tecrübeli personel tarafından yapılması,</w:t>
      </w:r>
      <w:r w:rsidRPr="00E7742A">
        <w:rPr>
          <w:color w:val="auto"/>
          <w:sz w:val="22"/>
        </w:rPr>
        <w:t xml:space="preserve"> </w:t>
      </w:r>
    </w:p>
    <w:p w:rsidR="00D9610F" w:rsidRPr="00E7742A" w:rsidRDefault="00414302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Ekonomik ömrünü tamamlayan ve atık olacak ürün ve sarfların geri dönüşüme kazandırılması,</w:t>
      </w:r>
    </w:p>
    <w:p w:rsidR="00D9610F" w:rsidRPr="00E7742A" w:rsidRDefault="00D9610F" w:rsidP="004E5530">
      <w:pPr>
        <w:pStyle w:val="ListeParagraf"/>
        <w:numPr>
          <w:ilvl w:val="0"/>
          <w:numId w:val="1"/>
        </w:numPr>
        <w:jc w:val="both"/>
        <w:rPr>
          <w:color w:val="auto"/>
          <w:sz w:val="22"/>
        </w:rPr>
      </w:pPr>
      <w:r w:rsidRPr="00E7742A">
        <w:rPr>
          <w:color w:val="auto"/>
          <w:sz w:val="22"/>
        </w:rPr>
        <w:t>Bilgisayar, monitör ve yan donanımlarının mümkün olduğunca doğrudan güneş ışığına ve manyetik etkilere maruz bırakılmaması,</w:t>
      </w:r>
    </w:p>
    <w:sectPr w:rsidR="00D9610F" w:rsidRPr="00E7742A" w:rsidSect="004E5530">
      <w:headerReference w:type="default" r:id="rId7"/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2A" w:rsidRDefault="00E7742A" w:rsidP="00E7742A">
      <w:pPr>
        <w:spacing w:after="0" w:line="240" w:lineRule="auto"/>
      </w:pPr>
      <w:r>
        <w:separator/>
      </w:r>
    </w:p>
  </w:endnote>
  <w:endnote w:type="continuationSeparator" w:id="0">
    <w:p w:rsidR="00E7742A" w:rsidRDefault="00E7742A" w:rsidP="00E7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2A" w:rsidRDefault="00E7742A" w:rsidP="00E7742A">
      <w:pPr>
        <w:spacing w:after="0" w:line="240" w:lineRule="auto"/>
      </w:pPr>
      <w:r>
        <w:separator/>
      </w:r>
    </w:p>
  </w:footnote>
  <w:footnote w:type="continuationSeparator" w:id="0">
    <w:p w:rsidR="00E7742A" w:rsidRDefault="00E7742A" w:rsidP="00E7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E7742A" w:rsidRPr="00E7742A" w:rsidTr="00E7742A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E7742A" w:rsidRPr="00E7742A" w:rsidRDefault="00E7742A" w:rsidP="00E7742A">
          <w:pPr>
            <w:spacing w:after="0" w:line="240" w:lineRule="auto"/>
            <w:rPr>
              <w:rFonts w:eastAsia="Times New Roman"/>
              <w:color w:val="auto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  <w:lang w:eastAsia="tr-TR"/>
            </w:rPr>
            <w:drawing>
              <wp:inline distT="0" distB="0" distL="0" distR="0" wp14:anchorId="75C73105" wp14:editId="75B0914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7742A" w:rsidRPr="00E7742A" w:rsidRDefault="00E7742A" w:rsidP="00E7742A">
          <w:pPr>
            <w:spacing w:after="0" w:line="240" w:lineRule="auto"/>
            <w:jc w:val="center"/>
            <w:rPr>
              <w:rFonts w:eastAsia="Times New Roman"/>
              <w:b/>
              <w:color w:val="auto"/>
              <w:sz w:val="20"/>
              <w:szCs w:val="20"/>
            </w:rPr>
          </w:pPr>
          <w:proofErr w:type="spellStart"/>
          <w:r w:rsidRPr="00E7742A">
            <w:rPr>
              <w:rFonts w:eastAsia="Times New Roman"/>
              <w:b/>
              <w:color w:val="auto"/>
              <w:sz w:val="20"/>
              <w:szCs w:val="20"/>
            </w:rPr>
            <w:t>Onikişubat</w:t>
          </w:r>
          <w:proofErr w:type="spellEnd"/>
          <w:r w:rsidRPr="00E7742A">
            <w:rPr>
              <w:rFonts w:eastAsia="Times New Roman"/>
              <w:b/>
              <w:color w:val="auto"/>
              <w:sz w:val="20"/>
              <w:szCs w:val="20"/>
            </w:rPr>
            <w:t xml:space="preserve"> İlçe Milli Eğitim Müdürlüğü </w:t>
          </w:r>
        </w:p>
        <w:p w:rsidR="00E7742A" w:rsidRPr="00E7742A" w:rsidRDefault="00E7742A" w:rsidP="00E7742A">
          <w:pPr>
            <w:spacing w:after="0" w:line="240" w:lineRule="auto"/>
            <w:jc w:val="center"/>
            <w:rPr>
              <w:rFonts w:eastAsia="Times New Roman"/>
              <w:b/>
              <w:color w:val="auto"/>
              <w:sz w:val="20"/>
              <w:szCs w:val="20"/>
            </w:rPr>
          </w:pPr>
          <w:proofErr w:type="gramStart"/>
          <w:r w:rsidRPr="00E7742A">
            <w:rPr>
              <w:rFonts w:eastAsia="Times New Roman"/>
              <w:b/>
              <w:color w:val="auto"/>
              <w:sz w:val="20"/>
              <w:szCs w:val="20"/>
            </w:rPr>
            <w:t>……………………..</w:t>
          </w:r>
          <w:proofErr w:type="gramEnd"/>
          <w:r w:rsidRPr="00E7742A">
            <w:rPr>
              <w:rFonts w:eastAsia="Times New Roman"/>
              <w:b/>
              <w:color w:val="auto"/>
              <w:sz w:val="20"/>
              <w:szCs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Döküman No:TL-100</w:t>
          </w:r>
        </w:p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0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Yayın No : 01</w:t>
          </w:r>
        </w:p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Yayın Tarihi:  06/09/2016</w:t>
          </w:r>
        </w:p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Revizyon Tarihi:  …./…./2016</w:t>
          </w:r>
        </w:p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Revizyon Sayısı:00</w:t>
          </w:r>
        </w:p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160" w:lineRule="atLeast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 xml:space="preserve">Sayfa No: </w: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begin"/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instrText xml:space="preserve"> PAGE </w:instrTex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separate"/>
          </w:r>
          <w:r w:rsidR="00E075FC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1</w: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end"/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 xml:space="preserve"> /</w: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begin"/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instrText xml:space="preserve"> NUMPAGES </w:instrTex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separate"/>
          </w:r>
          <w:r w:rsidR="00E075FC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t>1</w:t>
          </w:r>
          <w:r w:rsidRPr="00E7742A"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  <w:fldChar w:fldCharType="end"/>
          </w:r>
        </w:p>
      </w:tc>
    </w:tr>
    <w:tr w:rsidR="00E7742A" w:rsidRPr="00E7742A" w:rsidTr="00E7742A">
      <w:trPr>
        <w:trHeight w:val="690"/>
        <w:tblHeader/>
      </w:trPr>
      <w:tc>
        <w:tcPr>
          <w:tcW w:w="1985" w:type="dxa"/>
          <w:vMerge/>
          <w:vAlign w:val="center"/>
        </w:tcPr>
        <w:p w:rsidR="00E7742A" w:rsidRPr="00E7742A" w:rsidRDefault="00E7742A" w:rsidP="00E7742A">
          <w:pPr>
            <w:spacing w:after="0" w:line="240" w:lineRule="auto"/>
            <w:jc w:val="right"/>
            <w:rPr>
              <w:rFonts w:eastAsia="Times New Roman"/>
              <w:color w:val="auto"/>
              <w:sz w:val="20"/>
              <w:szCs w:val="20"/>
            </w:rPr>
          </w:pPr>
        </w:p>
      </w:tc>
      <w:tc>
        <w:tcPr>
          <w:tcW w:w="6095" w:type="dxa"/>
          <w:vAlign w:val="center"/>
        </w:tcPr>
        <w:p w:rsidR="00E7742A" w:rsidRPr="00E7742A" w:rsidRDefault="00E7742A" w:rsidP="00E7742A">
          <w:pPr>
            <w:spacing w:after="0" w:line="240" w:lineRule="auto"/>
            <w:jc w:val="center"/>
            <w:rPr>
              <w:rFonts w:eastAsia="Times New Roman"/>
              <w:b/>
              <w:color w:val="auto"/>
              <w:sz w:val="20"/>
              <w:szCs w:val="20"/>
            </w:rPr>
          </w:pPr>
          <w:r w:rsidRPr="00E7742A">
            <w:rPr>
              <w:rFonts w:eastAsia="Times New Roman"/>
              <w:b/>
              <w:color w:val="auto"/>
              <w:sz w:val="20"/>
              <w:szCs w:val="20"/>
            </w:rPr>
            <w:t>Uzman-Usta Öğretici Talimatı</w:t>
          </w:r>
        </w:p>
      </w:tc>
      <w:tc>
        <w:tcPr>
          <w:tcW w:w="2693" w:type="dxa"/>
          <w:vMerge/>
          <w:vAlign w:val="center"/>
        </w:tcPr>
        <w:p w:rsidR="00E7742A" w:rsidRPr="00E7742A" w:rsidRDefault="00E7742A" w:rsidP="00E7742A">
          <w:pPr>
            <w:tabs>
              <w:tab w:val="left" w:pos="1243"/>
              <w:tab w:val="left" w:pos="1384"/>
              <w:tab w:val="left" w:pos="2329"/>
            </w:tabs>
            <w:spacing w:after="0" w:line="240" w:lineRule="auto"/>
            <w:rPr>
              <w:rFonts w:eastAsia="Times New Roman"/>
              <w:noProof/>
              <w:color w:val="auto"/>
              <w:position w:val="-28"/>
              <w:sz w:val="20"/>
              <w:szCs w:val="20"/>
            </w:rPr>
          </w:pPr>
        </w:p>
      </w:tc>
    </w:tr>
  </w:tbl>
  <w:p w:rsidR="00E7742A" w:rsidRDefault="00E774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0E91"/>
    <w:multiLevelType w:val="hybridMultilevel"/>
    <w:tmpl w:val="04663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9"/>
    <w:rsid w:val="001A39E9"/>
    <w:rsid w:val="001D64ED"/>
    <w:rsid w:val="002B1C69"/>
    <w:rsid w:val="003105C7"/>
    <w:rsid w:val="00414302"/>
    <w:rsid w:val="004D6463"/>
    <w:rsid w:val="004E5530"/>
    <w:rsid w:val="005E0CFE"/>
    <w:rsid w:val="00607D20"/>
    <w:rsid w:val="00770148"/>
    <w:rsid w:val="007C2DAF"/>
    <w:rsid w:val="008070B9"/>
    <w:rsid w:val="008A24F6"/>
    <w:rsid w:val="00976025"/>
    <w:rsid w:val="00A248B8"/>
    <w:rsid w:val="00A47A53"/>
    <w:rsid w:val="00B2098C"/>
    <w:rsid w:val="00B621EE"/>
    <w:rsid w:val="00BD3AA2"/>
    <w:rsid w:val="00BE5337"/>
    <w:rsid w:val="00C238FB"/>
    <w:rsid w:val="00C33209"/>
    <w:rsid w:val="00D2387E"/>
    <w:rsid w:val="00D71166"/>
    <w:rsid w:val="00D9610F"/>
    <w:rsid w:val="00DC57CE"/>
    <w:rsid w:val="00E075FC"/>
    <w:rsid w:val="00E15466"/>
    <w:rsid w:val="00E7742A"/>
    <w:rsid w:val="00E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6515-C3D1-4760-A2AF-2D4AB114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60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42A"/>
  </w:style>
  <w:style w:type="paragraph" w:styleId="Altbilgi">
    <w:name w:val="footer"/>
    <w:basedOn w:val="Normal"/>
    <w:link w:val="AltbilgiChar"/>
    <w:uiPriority w:val="99"/>
    <w:unhideWhenUsed/>
    <w:rsid w:val="00E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42A"/>
  </w:style>
  <w:style w:type="paragraph" w:styleId="BalonMetni">
    <w:name w:val="Balloon Text"/>
    <w:basedOn w:val="Normal"/>
    <w:link w:val="BalonMetniChar"/>
    <w:uiPriority w:val="99"/>
    <w:semiHidden/>
    <w:unhideWhenUsed/>
    <w:rsid w:val="00E7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KARİP</dc:creator>
  <cp:lastModifiedBy>aidata1</cp:lastModifiedBy>
  <cp:revision>2</cp:revision>
  <cp:lastPrinted>2018-03-30T12:43:00Z</cp:lastPrinted>
  <dcterms:created xsi:type="dcterms:W3CDTF">2018-03-30T12:44:00Z</dcterms:created>
  <dcterms:modified xsi:type="dcterms:W3CDTF">2018-03-30T12:44:00Z</dcterms:modified>
</cp:coreProperties>
</file>