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anahtarı her öğretmene verilmelidir. Servis anahtarları (alttaki kilit) ise okul idaresinde kalmalıdır.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anahtarları öğrenciye kesinlikle verilmemelidir.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Tebeşir kullanıldıktan sonra “ETKİLEŞİMLİ TAHTA”</w:t>
      </w:r>
      <w:r w:rsidR="00C43456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1A1A39">
        <w:rPr>
          <w:rFonts w:ascii="Times New Roman" w:eastAsiaTheme="minorHAnsi" w:hAnsi="Times New Roman"/>
          <w:szCs w:val="24"/>
        </w:rPr>
        <w:t>nın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sürgülü kısmına atılmamalı, tebeşir tozunun “ETKİLEŞİMLİ TAHTA”</w:t>
      </w:r>
      <w:r w:rsidR="00C43456">
        <w:rPr>
          <w:rFonts w:ascii="Times New Roman" w:eastAsiaTheme="minorHAnsi" w:hAnsi="Times New Roman"/>
          <w:szCs w:val="24"/>
        </w:rPr>
        <w:t xml:space="preserve"> </w:t>
      </w:r>
      <w:bookmarkStart w:id="0" w:name="_GoBack"/>
      <w:bookmarkEnd w:id="0"/>
      <w:r w:rsidRPr="001A1A39">
        <w:rPr>
          <w:rFonts w:ascii="Times New Roman" w:eastAsiaTheme="minorHAnsi" w:hAnsi="Times New Roman"/>
          <w:szCs w:val="24"/>
        </w:rPr>
        <w:t>ya vereceği zarar düşünülerek temizliği için gerekenlerin yapılması gerekmektedir.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ders bitiminde kapatma işlemleri yerine getirildikten sonra kullanan öğretmenler</w:t>
      </w:r>
      <w:r w:rsidR="00C43456">
        <w:rPr>
          <w:rFonts w:ascii="Times New Roman" w:eastAsiaTheme="minorHAnsi" w:hAnsi="Times New Roman"/>
          <w:szCs w:val="24"/>
        </w:rPr>
        <w:t xml:space="preserve"> </w:t>
      </w:r>
      <w:r w:rsidRPr="001A1A39">
        <w:rPr>
          <w:rFonts w:ascii="Times New Roman" w:eastAsiaTheme="minorHAnsi" w:hAnsi="Times New Roman"/>
          <w:szCs w:val="24"/>
        </w:rPr>
        <w:t>tarafından kilitlemelidir.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Teneffüslerde “ETKİLEŞİMLİ TAHTA”</w:t>
      </w:r>
      <w:r w:rsidR="00C43456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1A1A39">
        <w:rPr>
          <w:rFonts w:ascii="Times New Roman" w:eastAsiaTheme="minorHAnsi" w:hAnsi="Times New Roman"/>
          <w:szCs w:val="24"/>
        </w:rPr>
        <w:t>nın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güvenliğini sağlamak için sınıf öğretmenleri, nöbetçi öğrencileri belirlemelidir.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Alt yapı çalışmaları bitirilinceye kadar elektrik prizlerinin ve ara kabloların öğrenci güvenliğini tehdit etmemesi için gerekli tedbirler alınmalıdır.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</w:t>
      </w:r>
      <w:r w:rsidR="00C43456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1A1A39">
        <w:rPr>
          <w:rFonts w:ascii="Times New Roman" w:eastAsiaTheme="minorHAnsi" w:hAnsi="Times New Roman"/>
          <w:szCs w:val="24"/>
        </w:rPr>
        <w:t>lara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lisanssız program yüklenmeyecektir. Yükleme yapılacak programlarda okul BT Rehber öğretmeninden yardım istenecektir.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teneffüslerde ve öğle arasında kapalı tutulacaktır.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ile ilgili karşılaşılan sorunlarda okul BT Rehber öğretmeninden yardım istenecektir.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Kapaklar zor kapanıyorsa,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Programlar düzgün çalışmıyorsa,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Dokunmatik ekranda kalibre sorunu vb. varsa.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Etkileşimli tahta yönetici şifresi BT Rehber öğretmeni tarafından değiştirilmelidir.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 uzun süre kullanılmayacaksa (alt yapı bitinceye kadar) güç kaynağından ayırınız.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Ürünü temizlerken dikkat edilmesi gereken hususlar;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 xml:space="preserve">“ETKİLEŞİMLİ TAHTA” ürününüzü temizlerken sistemin açık olmaması gerekmektedir. 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 yüzeyini temizlemek için lütfen yumuşak ve hafif nemli bez kullanın.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Ekranı temizlemek için kimyasal temizleyiciler kullanmayınız.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Temizleyici maddeyi doğrudan “ETKİLEŞİMLİ TAHTA”  ürününüze uygulamayınız.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</w:t>
      </w:r>
      <w:r w:rsidR="00C43456">
        <w:rPr>
          <w:rFonts w:ascii="Times New Roman" w:eastAsiaTheme="minorHAnsi" w:hAnsi="Times New Roman"/>
          <w:szCs w:val="24"/>
        </w:rPr>
        <w:t xml:space="preserve"> </w:t>
      </w:r>
      <w:proofErr w:type="spellStart"/>
      <w:r w:rsidRPr="001A1A39">
        <w:rPr>
          <w:rFonts w:ascii="Times New Roman" w:eastAsiaTheme="minorHAnsi" w:hAnsi="Times New Roman"/>
          <w:szCs w:val="24"/>
        </w:rPr>
        <w:t>yı</w:t>
      </w:r>
      <w:proofErr w:type="spellEnd"/>
      <w:r w:rsidRPr="001A1A39">
        <w:rPr>
          <w:rFonts w:ascii="Times New Roman" w:eastAsiaTheme="minorHAnsi" w:hAnsi="Times New Roman"/>
          <w:szCs w:val="24"/>
        </w:rPr>
        <w:t xml:space="preserve"> kullanırken ürünü nem, yüksek sıcaklık, ateş, direkt güneş ışığı </w:t>
      </w:r>
      <w:proofErr w:type="gramStart"/>
      <w:r w:rsidRPr="001A1A39">
        <w:rPr>
          <w:rFonts w:ascii="Times New Roman" w:eastAsiaTheme="minorHAnsi" w:hAnsi="Times New Roman"/>
          <w:szCs w:val="24"/>
        </w:rPr>
        <w:t>ve</w:t>
      </w:r>
      <w:proofErr w:type="gramEnd"/>
      <w:r w:rsidRPr="001A1A39">
        <w:rPr>
          <w:rFonts w:ascii="Times New Roman" w:eastAsiaTheme="minorHAnsi" w:hAnsi="Times New Roman"/>
          <w:szCs w:val="24"/>
        </w:rPr>
        <w:t xml:space="preserve"> de toza maruz bırakmayınız.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altındaki havalandırma boşlukları, sistemin aşırı ısınmasını engellemeden, daha güvenli çalışmasını sağlayacaktır. Bu boşlukları kapatmayınız veya bir eşya ile hava akımını engellemeyiniz.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lastRenderedPageBreak/>
        <w:t>“ETKİLEŞİMLİ TAHTA” güçlü manyetik alan üreten büyük hoparlör gibi elektrikli aygıtlardan en az 15 cm uzakta konumlandırınız.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 üzerine ağır cisimler koymayınız. Ekran oldukça hassastır ve de zarar görebilir.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Ekranı temizlerken hiçbir zaman sert temizlik malzemeleri kullanmayınız.</w:t>
      </w:r>
    </w:p>
    <w:p w:rsidR="001A1A39" w:rsidRPr="001A1A39" w:rsidRDefault="001A1A39" w:rsidP="001A1A39">
      <w:pPr>
        <w:numPr>
          <w:ilvl w:val="1"/>
          <w:numId w:val="16"/>
        </w:numPr>
        <w:spacing w:line="360" w:lineRule="auto"/>
        <w:ind w:left="70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Ekrana sivri uçlu kalem ya da benzeri cisimlerle dokunmayınız.</w:t>
      </w:r>
    </w:p>
    <w:p w:rsidR="001A1A39" w:rsidRP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“ETKİLEŞİMLİ TAHTA” kullanım kılavuzunu (Firma tarafından yayınlanan) okuyunuz.</w:t>
      </w:r>
    </w:p>
    <w:p w:rsidR="001A1A39" w:rsidRDefault="001A1A39" w:rsidP="001A1A39">
      <w:pPr>
        <w:numPr>
          <w:ilvl w:val="0"/>
          <w:numId w:val="16"/>
        </w:numPr>
        <w:spacing w:line="360" w:lineRule="auto"/>
        <w:ind w:left="360" w:hanging="357"/>
        <w:contextualSpacing/>
        <w:jc w:val="both"/>
        <w:rPr>
          <w:rFonts w:ascii="Times New Roman" w:eastAsiaTheme="minorHAnsi" w:hAnsi="Times New Roman"/>
          <w:szCs w:val="24"/>
        </w:rPr>
      </w:pPr>
      <w:r w:rsidRPr="001A1A39">
        <w:rPr>
          <w:rFonts w:ascii="Times New Roman" w:eastAsiaTheme="minorHAnsi" w:hAnsi="Times New Roman"/>
          <w:szCs w:val="24"/>
        </w:rPr>
        <w:t>HDMI kablolarını “ETKİLEŞİMLİ TAHTA” ya takmanın zor olmasından dolayı; Alt yapı çalışmaları bitinceye kadar bu kabloların Okul BT Rehber öğretmeni tarafından yerine takılıp kullanıma hazır halde bulundurulmalıdır</w:t>
      </w:r>
    </w:p>
    <w:p w:rsidR="001A1A39" w:rsidRPr="001A1A39" w:rsidRDefault="001A1A39" w:rsidP="001A1A39">
      <w:pPr>
        <w:spacing w:line="360" w:lineRule="auto"/>
        <w:rPr>
          <w:rFonts w:ascii="Times New Roman" w:eastAsiaTheme="minorHAnsi" w:hAnsi="Times New Roman"/>
          <w:szCs w:val="24"/>
        </w:rPr>
      </w:pPr>
    </w:p>
    <w:p w:rsidR="001A1A39" w:rsidRPr="001A1A39" w:rsidRDefault="001A1A39" w:rsidP="001A1A39">
      <w:pPr>
        <w:spacing w:line="360" w:lineRule="auto"/>
        <w:rPr>
          <w:rFonts w:ascii="Times New Roman" w:eastAsiaTheme="minorHAnsi" w:hAnsi="Times New Roman"/>
          <w:szCs w:val="24"/>
        </w:rPr>
      </w:pPr>
    </w:p>
    <w:p w:rsidR="001A1A39" w:rsidRDefault="001A1A39" w:rsidP="001A1A39">
      <w:pPr>
        <w:spacing w:line="360" w:lineRule="auto"/>
        <w:rPr>
          <w:rFonts w:ascii="Times New Roman" w:hAnsi="Times New Roman"/>
          <w:szCs w:val="24"/>
        </w:rPr>
      </w:pPr>
    </w:p>
    <w:sectPr w:rsidR="001A1A39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662" w:rsidRDefault="00DA2662">
      <w:r>
        <w:separator/>
      </w:r>
    </w:p>
  </w:endnote>
  <w:endnote w:type="continuationSeparator" w:id="0">
    <w:p w:rsidR="00DA2662" w:rsidRDefault="00DA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416D1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662" w:rsidRDefault="00DA2662">
      <w:r>
        <w:separator/>
      </w:r>
    </w:p>
  </w:footnote>
  <w:footnote w:type="continuationSeparator" w:id="0">
    <w:p w:rsidR="00DA2662" w:rsidRDefault="00DA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416D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C43456">
      <w:trPr>
        <w:trHeight w:val="542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898071" cy="898071"/>
                <wp:effectExtent l="0" t="0" r="0" b="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113" cy="904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FE0CD8" w:rsidRDefault="00326901" w:rsidP="00FE0CD8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FE0CD8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FE0CD8" w:rsidP="00FE0CD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C43456" w:rsidRDefault="00A86108" w:rsidP="00C43456">
          <w:pPr>
            <w:rPr>
              <w:rFonts w:ascii="Times New Roman" w:hAnsi="Times New Roman"/>
              <w:sz w:val="20"/>
            </w:rPr>
          </w:pPr>
          <w:proofErr w:type="spellStart"/>
          <w:r w:rsidRPr="00C43456">
            <w:rPr>
              <w:rFonts w:ascii="Times New Roman" w:hAnsi="Times New Roman"/>
              <w:sz w:val="20"/>
            </w:rPr>
            <w:t>Dö</w:t>
          </w:r>
          <w:r w:rsidR="00960B88" w:rsidRPr="00C43456">
            <w:rPr>
              <w:rFonts w:ascii="Times New Roman" w:hAnsi="Times New Roman"/>
              <w:sz w:val="20"/>
            </w:rPr>
            <w:t>küman</w:t>
          </w:r>
          <w:proofErr w:type="spellEnd"/>
          <w:r w:rsidR="00960B88" w:rsidRPr="00C43456">
            <w:rPr>
              <w:rFonts w:ascii="Times New Roman" w:hAnsi="Times New Roman"/>
              <w:sz w:val="20"/>
            </w:rPr>
            <w:t xml:space="preserve"> </w:t>
          </w:r>
          <w:proofErr w:type="gramStart"/>
          <w:r w:rsidR="00960B88" w:rsidRPr="00C43456">
            <w:rPr>
              <w:rFonts w:ascii="Times New Roman" w:hAnsi="Times New Roman"/>
              <w:sz w:val="20"/>
            </w:rPr>
            <w:t>No:</w:t>
          </w:r>
          <w:r w:rsidR="0045324F" w:rsidRPr="00C43456">
            <w:rPr>
              <w:rFonts w:ascii="Times New Roman" w:hAnsi="Times New Roman"/>
              <w:sz w:val="20"/>
            </w:rPr>
            <w:t>TL</w:t>
          </w:r>
          <w:proofErr w:type="gramEnd"/>
          <w:r w:rsidR="007E57D7" w:rsidRPr="00C43456">
            <w:rPr>
              <w:rFonts w:ascii="Times New Roman" w:hAnsi="Times New Roman"/>
              <w:sz w:val="20"/>
            </w:rPr>
            <w:t>-</w:t>
          </w:r>
          <w:r w:rsidR="006D6CDC" w:rsidRPr="00C43456">
            <w:rPr>
              <w:rFonts w:ascii="Times New Roman" w:hAnsi="Times New Roman"/>
              <w:sz w:val="20"/>
            </w:rPr>
            <w:t>2</w:t>
          </w:r>
          <w:r w:rsidR="001A1A39" w:rsidRPr="00C43456">
            <w:rPr>
              <w:rFonts w:ascii="Times New Roman" w:hAnsi="Times New Roman"/>
              <w:sz w:val="20"/>
            </w:rPr>
            <w:t>2</w:t>
          </w:r>
        </w:p>
        <w:p w:rsidR="00960B88" w:rsidRPr="00C43456" w:rsidRDefault="00960B88" w:rsidP="00C43456">
          <w:pPr>
            <w:rPr>
              <w:rFonts w:ascii="Times New Roman" w:hAnsi="Times New Roman"/>
              <w:sz w:val="20"/>
            </w:rPr>
          </w:pPr>
          <w:r w:rsidRPr="00C43456">
            <w:rPr>
              <w:rFonts w:ascii="Times New Roman" w:hAnsi="Times New Roman"/>
              <w:sz w:val="20"/>
            </w:rPr>
            <w:t xml:space="preserve">Yayın </w:t>
          </w:r>
          <w:proofErr w:type="gramStart"/>
          <w:r w:rsidRPr="00C43456">
            <w:rPr>
              <w:rFonts w:ascii="Times New Roman" w:hAnsi="Times New Roman"/>
              <w:sz w:val="20"/>
            </w:rPr>
            <w:t xml:space="preserve">No : </w:t>
          </w:r>
          <w:r w:rsidR="00A86108" w:rsidRPr="00C43456">
            <w:rPr>
              <w:rFonts w:ascii="Times New Roman" w:hAnsi="Times New Roman"/>
              <w:sz w:val="20"/>
            </w:rPr>
            <w:t>01</w:t>
          </w:r>
          <w:proofErr w:type="gramEnd"/>
        </w:p>
        <w:p w:rsidR="00960B88" w:rsidRPr="00C43456" w:rsidRDefault="00960B88" w:rsidP="00C43456">
          <w:pPr>
            <w:rPr>
              <w:rFonts w:ascii="Times New Roman" w:hAnsi="Times New Roman"/>
              <w:sz w:val="20"/>
            </w:rPr>
          </w:pPr>
          <w:r w:rsidRPr="00C43456">
            <w:rPr>
              <w:rFonts w:ascii="Times New Roman" w:hAnsi="Times New Roman"/>
              <w:sz w:val="20"/>
            </w:rPr>
            <w:t xml:space="preserve">Yayın Tarihi:  </w:t>
          </w:r>
          <w:r w:rsidR="00C515E5" w:rsidRPr="00C43456">
            <w:rPr>
              <w:rFonts w:ascii="Times New Roman" w:hAnsi="Times New Roman"/>
              <w:sz w:val="20"/>
            </w:rPr>
            <w:t>06/09/2016</w:t>
          </w:r>
        </w:p>
        <w:p w:rsidR="00960B88" w:rsidRPr="00C43456" w:rsidRDefault="00960B88" w:rsidP="00C43456">
          <w:pPr>
            <w:rPr>
              <w:rFonts w:ascii="Times New Roman" w:hAnsi="Times New Roman"/>
              <w:sz w:val="20"/>
            </w:rPr>
          </w:pPr>
          <w:r w:rsidRPr="00C43456">
            <w:rPr>
              <w:rFonts w:ascii="Times New Roman" w:hAnsi="Times New Roman"/>
              <w:sz w:val="20"/>
            </w:rPr>
            <w:t xml:space="preserve">Revizyon Tarihi:  </w:t>
          </w:r>
          <w:proofErr w:type="gramStart"/>
          <w:r w:rsidRPr="00C43456">
            <w:rPr>
              <w:rFonts w:ascii="Times New Roman" w:hAnsi="Times New Roman"/>
              <w:sz w:val="20"/>
            </w:rPr>
            <w:t>….</w:t>
          </w:r>
          <w:proofErr w:type="gramEnd"/>
          <w:r w:rsidRPr="00C43456">
            <w:rPr>
              <w:rFonts w:ascii="Times New Roman" w:hAnsi="Times New Roman"/>
              <w:sz w:val="20"/>
            </w:rPr>
            <w:t>/…./2016</w:t>
          </w:r>
        </w:p>
        <w:p w:rsidR="00B8479A" w:rsidRPr="00C43456" w:rsidRDefault="00B8479A" w:rsidP="00C43456">
          <w:pPr>
            <w:rPr>
              <w:rFonts w:ascii="Times New Roman" w:hAnsi="Times New Roman"/>
              <w:sz w:val="20"/>
            </w:rPr>
          </w:pPr>
          <w:r w:rsidRPr="00C43456">
            <w:rPr>
              <w:rFonts w:ascii="Times New Roman" w:hAnsi="Times New Roman"/>
              <w:sz w:val="20"/>
            </w:rPr>
            <w:t>Revizyon Sayısı:00</w:t>
          </w:r>
        </w:p>
        <w:p w:rsidR="00960B88" w:rsidRPr="007E57D7" w:rsidRDefault="00960B88" w:rsidP="00C43456">
          <w:pPr>
            <w:rPr>
              <w:noProof/>
            </w:rPr>
          </w:pPr>
          <w:r w:rsidRPr="00C43456">
            <w:rPr>
              <w:rFonts w:ascii="Times New Roman" w:hAnsi="Times New Roman"/>
              <w:sz w:val="20"/>
            </w:rPr>
            <w:t xml:space="preserve">Sayfa No: </w:t>
          </w:r>
          <w:r w:rsidR="00E416D1" w:rsidRPr="00C43456">
            <w:rPr>
              <w:rFonts w:ascii="Times New Roman" w:hAnsi="Times New Roman"/>
              <w:sz w:val="20"/>
            </w:rPr>
            <w:fldChar w:fldCharType="begin"/>
          </w:r>
          <w:r w:rsidRPr="00C43456">
            <w:rPr>
              <w:rFonts w:ascii="Times New Roman" w:hAnsi="Times New Roman"/>
              <w:sz w:val="20"/>
            </w:rPr>
            <w:instrText xml:space="preserve"> PAGE </w:instrText>
          </w:r>
          <w:r w:rsidR="00E416D1" w:rsidRPr="00C43456">
            <w:rPr>
              <w:rFonts w:ascii="Times New Roman" w:hAnsi="Times New Roman"/>
              <w:sz w:val="20"/>
            </w:rPr>
            <w:fldChar w:fldCharType="separate"/>
          </w:r>
          <w:r w:rsidR="00C43456">
            <w:rPr>
              <w:rFonts w:ascii="Times New Roman" w:hAnsi="Times New Roman"/>
              <w:noProof/>
              <w:sz w:val="20"/>
            </w:rPr>
            <w:t>2</w:t>
          </w:r>
          <w:r w:rsidR="00E416D1" w:rsidRPr="00C43456">
            <w:rPr>
              <w:rFonts w:ascii="Times New Roman" w:hAnsi="Times New Roman"/>
              <w:sz w:val="20"/>
            </w:rPr>
            <w:fldChar w:fldCharType="end"/>
          </w:r>
          <w:r w:rsidRPr="00C43456">
            <w:rPr>
              <w:rFonts w:ascii="Times New Roman" w:hAnsi="Times New Roman"/>
              <w:sz w:val="20"/>
            </w:rPr>
            <w:t xml:space="preserve"> /</w:t>
          </w:r>
          <w:r w:rsidR="00E416D1" w:rsidRPr="00C43456">
            <w:rPr>
              <w:rFonts w:ascii="Times New Roman" w:hAnsi="Times New Roman"/>
              <w:sz w:val="20"/>
            </w:rPr>
            <w:fldChar w:fldCharType="begin"/>
          </w:r>
          <w:r w:rsidRPr="00C43456">
            <w:rPr>
              <w:rFonts w:ascii="Times New Roman" w:hAnsi="Times New Roman"/>
              <w:sz w:val="20"/>
            </w:rPr>
            <w:instrText xml:space="preserve"> NUMPAGES </w:instrText>
          </w:r>
          <w:r w:rsidR="00E416D1" w:rsidRPr="00C43456">
            <w:rPr>
              <w:rFonts w:ascii="Times New Roman" w:hAnsi="Times New Roman"/>
              <w:sz w:val="20"/>
            </w:rPr>
            <w:fldChar w:fldCharType="separate"/>
          </w:r>
          <w:r w:rsidR="00C43456">
            <w:rPr>
              <w:rFonts w:ascii="Times New Roman" w:hAnsi="Times New Roman"/>
              <w:noProof/>
              <w:sz w:val="20"/>
            </w:rPr>
            <w:t>2</w:t>
          </w:r>
          <w:r w:rsidR="00E416D1" w:rsidRPr="00C43456">
            <w:rPr>
              <w:rFonts w:ascii="Times New Roman" w:hAnsi="Times New Roman"/>
              <w:sz w:val="20"/>
            </w:rPr>
            <w:fldChar w:fldCharType="end"/>
          </w:r>
        </w:p>
      </w:tc>
    </w:tr>
    <w:tr w:rsidR="00960B88" w:rsidRPr="007E57D7" w:rsidTr="00C43456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A1A3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Etkileşimli Tahta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90DE5"/>
    <w:multiLevelType w:val="hybridMultilevel"/>
    <w:tmpl w:val="226CCAF0"/>
    <w:lvl w:ilvl="0" w:tplc="A18AC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C50645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A1A39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26901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06ADA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D2672"/>
    <w:rsid w:val="009E1B63"/>
    <w:rsid w:val="009F65ED"/>
    <w:rsid w:val="00A12F46"/>
    <w:rsid w:val="00A25ECC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456"/>
    <w:rsid w:val="00C436F8"/>
    <w:rsid w:val="00C515E5"/>
    <w:rsid w:val="00C84FF6"/>
    <w:rsid w:val="00C941AD"/>
    <w:rsid w:val="00C9575D"/>
    <w:rsid w:val="00CA42BC"/>
    <w:rsid w:val="00CB4A93"/>
    <w:rsid w:val="00CD7B6B"/>
    <w:rsid w:val="00CF6068"/>
    <w:rsid w:val="00D3719C"/>
    <w:rsid w:val="00DA2662"/>
    <w:rsid w:val="00DB324C"/>
    <w:rsid w:val="00DC18F4"/>
    <w:rsid w:val="00DE5AEC"/>
    <w:rsid w:val="00E404FE"/>
    <w:rsid w:val="00E416D1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C7DDD44-9F0A-4B23-A334-E81B24A0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D1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E416D1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416D1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E416D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16D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416D1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B112-CA81-40A1-B164-DE8DCDA5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mem</cp:lastModifiedBy>
  <cp:revision>24</cp:revision>
  <cp:lastPrinted>2010-12-20T21:35:00Z</cp:lastPrinted>
  <dcterms:created xsi:type="dcterms:W3CDTF">2016-03-28T12:45:00Z</dcterms:created>
  <dcterms:modified xsi:type="dcterms:W3CDTF">2018-08-27T21:41:00Z</dcterms:modified>
</cp:coreProperties>
</file>